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before="120" w:lineRule="auto"/>
        <w:jc w:val="center"/>
        <w:rPr>
          <w:b w:val="1"/>
          <w:sz w:val="32"/>
          <w:szCs w:val="32"/>
        </w:rPr>
      </w:pPr>
      <w:r w:rsidDel="00000000" w:rsidR="00000000" w:rsidRPr="00000000">
        <w:rPr>
          <w:b w:val="1"/>
          <w:sz w:val="32"/>
          <w:szCs w:val="32"/>
          <w:rtl w:val="0"/>
        </w:rPr>
        <w:t xml:space="preserve">Declaration on honour</w:t>
      </w:r>
      <w:r w:rsidDel="00000000" w:rsidR="00000000" w:rsidRPr="00000000">
        <w:rPr>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after="120" w:before="120" w:lineRule="auto"/>
        <w:jc w:val="center"/>
        <w:rPr>
          <w:b w:val="1"/>
          <w:sz w:val="32"/>
          <w:szCs w:val="32"/>
        </w:rPr>
      </w:pPr>
      <w:r w:rsidDel="00000000" w:rsidR="00000000" w:rsidRPr="00000000">
        <w:rPr>
          <w:b w:val="1"/>
          <w:sz w:val="32"/>
          <w:szCs w:val="32"/>
          <w:rtl w:val="0"/>
        </w:rPr>
        <w:t xml:space="preserve">Ref: “Food Wave - Empowering Urban Youth for Climate Action” </w:t>
      </w:r>
    </w:p>
    <w:p w:rsidR="00000000" w:rsidDel="00000000" w:rsidP="00000000" w:rsidRDefault="00000000" w:rsidRPr="00000000" w14:paraId="00000003">
      <w:pPr>
        <w:spacing w:after="120" w:before="120" w:lineRule="auto"/>
        <w:jc w:val="center"/>
        <w:rPr>
          <w:b w:val="1"/>
        </w:rPr>
      </w:pPr>
      <w:r w:rsidDel="00000000" w:rsidR="00000000" w:rsidRPr="00000000">
        <w:rPr>
          <w:b w:val="1"/>
          <w:sz w:val="32"/>
          <w:szCs w:val="32"/>
          <w:rtl w:val="0"/>
        </w:rPr>
        <w:t xml:space="preserve">Sub-granting Scheme </w:t>
      </w:r>
      <w:r w:rsidDel="00000000" w:rsidR="00000000" w:rsidRPr="00000000">
        <w:rPr>
          <w:rtl w:val="0"/>
        </w:rPr>
      </w:r>
    </w:p>
    <w:p w:rsidR="00000000" w:rsidDel="00000000" w:rsidP="00000000" w:rsidRDefault="00000000" w:rsidRPr="00000000" w14:paraId="00000004">
      <w:pPr>
        <w:spacing w:after="120" w:before="120" w:lineRule="auto"/>
        <w:jc w:val="center"/>
        <w:rPr>
          <w:b w:val="1"/>
          <w:i w:val="1"/>
          <w:highlight w:val="lightGray"/>
        </w:rPr>
      </w:pPr>
      <w:r w:rsidDel="00000000" w:rsidR="00000000" w:rsidRPr="00000000">
        <w:rPr>
          <w:rtl w:val="0"/>
        </w:rPr>
      </w:r>
    </w:p>
    <w:p w:rsidR="00000000" w:rsidDel="00000000" w:rsidP="00000000" w:rsidRDefault="00000000" w:rsidRPr="00000000" w14:paraId="00000005">
      <w:pPr>
        <w:spacing w:after="40" w:before="40" w:lineRule="auto"/>
        <w:jc w:val="both"/>
        <w:rPr/>
      </w:pPr>
      <w:r w:rsidDel="00000000" w:rsidR="00000000" w:rsidRPr="00000000">
        <w:rPr>
          <w:rtl w:val="0"/>
        </w:rPr>
        <w:t xml:space="preserve">The undersigned [</w:t>
      </w:r>
      <w:r w:rsidDel="00000000" w:rsidR="00000000" w:rsidRPr="00000000">
        <w:rPr>
          <w:i w:val="1"/>
          <w:highlight w:val="lightGray"/>
          <w:rtl w:val="0"/>
        </w:rPr>
        <w:t xml:space="preserve">insert the name of the person signing this form</w:t>
      </w:r>
      <w:r w:rsidDel="00000000" w:rsidR="00000000" w:rsidRPr="00000000">
        <w:rPr>
          <w:rtl w:val="0"/>
        </w:rPr>
        <w:t xml:space="preserve">], representing:</w:t>
      </w:r>
    </w:p>
    <w:tbl>
      <w:tblPr>
        <w:tblStyle w:val="Table1"/>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400"/>
      </w:tblPr>
      <w:tblGrid>
        <w:gridCol w:w="3686"/>
        <w:gridCol w:w="5811"/>
        <w:tblGridChange w:id="0">
          <w:tblGrid>
            <w:gridCol w:w="3686"/>
            <w:gridCol w:w="5811"/>
          </w:tblGrid>
        </w:tblGridChange>
      </w:tblGrid>
      <w:tr>
        <w:trPr>
          <w:cantSplit w:val="0"/>
          <w:tblHeader w:val="0"/>
        </w:trPr>
        <w:tc>
          <w:tcPr>
            <w:shd w:fill="auto" w:val="clear"/>
          </w:tcPr>
          <w:p w:rsidR="00000000" w:rsidDel="00000000" w:rsidP="00000000" w:rsidRDefault="00000000" w:rsidRPr="00000000" w14:paraId="00000006">
            <w:pPr>
              <w:jc w:val="both"/>
              <w:rPr/>
            </w:pPr>
            <w:r w:rsidDel="00000000" w:rsidR="00000000" w:rsidRPr="00000000">
              <w:rPr>
                <w:rtl w:val="0"/>
              </w:rPr>
              <w:t xml:space="preserve">(</w:t>
            </w:r>
            <w:r w:rsidDel="00000000" w:rsidR="00000000" w:rsidRPr="00000000">
              <w:rPr>
                <w:i w:val="1"/>
                <w:rtl w:val="0"/>
              </w:rPr>
              <w:t xml:space="preserve">only for natural persons</w:t>
            </w:r>
            <w:r w:rsidDel="00000000" w:rsidR="00000000" w:rsidRPr="00000000">
              <w:rPr>
                <w:rtl w:val="0"/>
              </w:rPr>
              <w:t xml:space="preserve">) himself or herself:</w:t>
            </w:r>
          </w:p>
        </w:tc>
        <w:tc>
          <w:tcPr>
            <w:shd w:fill="auto" w:val="clear"/>
          </w:tcPr>
          <w:p w:rsidR="00000000" w:rsidDel="00000000" w:rsidP="00000000" w:rsidRDefault="00000000" w:rsidRPr="00000000" w14:paraId="00000007">
            <w:pPr>
              <w:jc w:val="both"/>
              <w:rPr/>
            </w:pPr>
            <w:r w:rsidDel="00000000" w:rsidR="00000000" w:rsidRPr="00000000">
              <w:rPr>
                <w:rtl w:val="0"/>
              </w:rPr>
              <w:t xml:space="preserve">(</w:t>
            </w:r>
            <w:r w:rsidDel="00000000" w:rsidR="00000000" w:rsidRPr="00000000">
              <w:rPr>
                <w:i w:val="1"/>
                <w:rtl w:val="0"/>
              </w:rPr>
              <w:t xml:space="preserve">for legal persons and entities without legal personality</w:t>
            </w:r>
            <w:r w:rsidDel="00000000" w:rsidR="00000000" w:rsidRPr="00000000">
              <w:rPr>
                <w:rtl w:val="0"/>
              </w:rPr>
              <w:t xml:space="preserve">) the following entity: </w:t>
            </w:r>
          </w:p>
          <w:p w:rsidR="00000000" w:rsidDel="00000000" w:rsidP="00000000" w:rsidRDefault="00000000" w:rsidRPr="00000000" w14:paraId="00000008">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jc w:val="both"/>
              <w:rPr/>
            </w:pPr>
            <w:r w:rsidDel="00000000" w:rsidR="00000000" w:rsidRPr="00000000">
              <w:rPr>
                <w:rtl w:val="0"/>
              </w:rPr>
              <w:t xml:space="preserve">ID or passport number: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(‘the person’)</w:t>
            </w:r>
          </w:p>
        </w:tc>
        <w:tc>
          <w:tcPr>
            <w:shd w:fill="auto" w:val="clear"/>
          </w:tcPr>
          <w:p w:rsidR="00000000" w:rsidDel="00000000" w:rsidP="00000000" w:rsidRDefault="00000000" w:rsidRPr="00000000" w14:paraId="00000010">
            <w:pPr>
              <w:rPr>
                <w:b w:val="1"/>
              </w:rPr>
            </w:pPr>
            <w:r w:rsidDel="00000000" w:rsidR="00000000" w:rsidRPr="00000000">
              <w:rPr>
                <w:rtl w:val="0"/>
              </w:rPr>
              <w:t xml:space="preserve">Full official name: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Official legal form: </w:t>
            </w:r>
          </w:p>
          <w:p w:rsidR="00000000" w:rsidDel="00000000" w:rsidP="00000000" w:rsidRDefault="00000000" w:rsidRPr="00000000" w14:paraId="00000012">
            <w:pPr>
              <w:rPr>
                <w:b w:val="1"/>
              </w:rPr>
            </w:pPr>
            <w:r w:rsidDel="00000000" w:rsidR="00000000" w:rsidRPr="00000000">
              <w:rPr>
                <w:rtl w:val="0"/>
              </w:rPr>
              <w:t xml:space="preserve">Statutory registration number</w:t>
            </w:r>
            <w:r w:rsidDel="00000000" w:rsidR="00000000" w:rsidRPr="00000000">
              <w:rPr>
                <w:b w:val="1"/>
                <w:rtl w:val="0"/>
              </w:rPr>
              <w:t xml:space="preserve">: </w:t>
            </w:r>
          </w:p>
          <w:p w:rsidR="00000000" w:rsidDel="00000000" w:rsidP="00000000" w:rsidRDefault="00000000" w:rsidRPr="00000000" w14:paraId="00000013">
            <w:pPr>
              <w:rPr/>
            </w:pPr>
            <w:r w:rsidDel="00000000" w:rsidR="00000000" w:rsidRPr="00000000">
              <w:rPr>
                <w:rtl w:val="0"/>
              </w:rPr>
              <w:t xml:space="preserve">Full official address: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VAT registration number: </w:t>
            </w:r>
          </w:p>
          <w:p w:rsidR="00000000" w:rsidDel="00000000" w:rsidP="00000000" w:rsidRDefault="00000000" w:rsidRPr="00000000" w14:paraId="00000016">
            <w:pPr>
              <w:rPr/>
            </w:pPr>
            <w:r w:rsidDel="00000000" w:rsidR="00000000" w:rsidRPr="00000000">
              <w:rPr>
                <w:rtl w:val="0"/>
              </w:rPr>
              <w:t xml:space="preserve">(‘the person’)</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rsidR="00000000" w:rsidDel="00000000" w:rsidP="00000000" w:rsidRDefault="00000000" w:rsidRPr="00000000" w14:paraId="00000019">
      <w:pPr>
        <w:spacing w:after="280" w:before="280" w:lineRule="auto"/>
        <w:jc w:val="both"/>
        <w:rPr/>
      </w:pPr>
      <w:r w:rsidDel="00000000" w:rsidR="00000000" w:rsidRPr="00000000">
        <w:rPr>
          <w:rtl w:val="0"/>
        </w:rPr>
        <w:t xml:space="preserve">In this case, the signatory declares that the person has already provided the same declaration on exclusion criteria for a previous procedure and confirms that there has been no change in its situation: </w:t>
      </w:r>
    </w:p>
    <w:tbl>
      <w:tblPr>
        <w:tblStyle w:val="Table2"/>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662"/>
        <w:tblGridChange w:id="0">
          <w:tblGrid>
            <w:gridCol w:w="2802"/>
            <w:gridCol w:w="6662"/>
          </w:tblGrid>
        </w:tblGridChange>
      </w:tblGrid>
      <w:tr>
        <w:trPr>
          <w:cantSplit w:val="0"/>
          <w:tblHeader w:val="0"/>
        </w:trPr>
        <w:tc>
          <w:tcPr>
            <w:shd w:fill="auto" w:val="clear"/>
          </w:tcPr>
          <w:p w:rsidR="00000000" w:rsidDel="00000000" w:rsidP="00000000" w:rsidRDefault="00000000" w:rsidRPr="00000000" w14:paraId="0000001A">
            <w:pPr>
              <w:jc w:val="center"/>
              <w:rPr>
                <w:b w:val="1"/>
                <w:sz w:val="22"/>
                <w:szCs w:val="22"/>
              </w:rPr>
            </w:pPr>
            <w:r w:rsidDel="00000000" w:rsidR="00000000" w:rsidRPr="00000000">
              <w:rPr>
                <w:b w:val="1"/>
                <w:sz w:val="22"/>
                <w:szCs w:val="22"/>
                <w:rtl w:val="0"/>
              </w:rPr>
              <w:t xml:space="preserve">Date of the declaration</w:t>
            </w:r>
          </w:p>
        </w:tc>
        <w:tc>
          <w:tcPr>
            <w:shd w:fill="auto" w:val="clear"/>
          </w:tcPr>
          <w:p w:rsidR="00000000" w:rsidDel="00000000" w:rsidP="00000000" w:rsidRDefault="00000000" w:rsidRPr="00000000" w14:paraId="0000001B">
            <w:pPr>
              <w:jc w:val="center"/>
              <w:rPr>
                <w:b w:val="1"/>
                <w:sz w:val="22"/>
                <w:szCs w:val="22"/>
              </w:rPr>
            </w:pPr>
            <w:r w:rsidDel="00000000" w:rsidR="00000000" w:rsidRPr="00000000">
              <w:rPr>
                <w:b w:val="1"/>
                <w:sz w:val="22"/>
                <w:szCs w:val="22"/>
                <w:rtl w:val="0"/>
              </w:rPr>
              <w:t xml:space="preserve">Full reference to previous procedure </w:t>
            </w:r>
          </w:p>
        </w:tc>
      </w:tr>
      <w:tr>
        <w:trPr>
          <w:cantSplit w:val="0"/>
          <w:tblHeader w:val="0"/>
        </w:trPr>
        <w:tc>
          <w:tcPr>
            <w:shd w:fill="auto" w:val="clear"/>
          </w:tcPr>
          <w:p w:rsidR="00000000" w:rsidDel="00000000" w:rsidP="00000000" w:rsidRDefault="00000000" w:rsidRPr="00000000" w14:paraId="0000001C">
            <w:pPr>
              <w:rPr/>
            </w:pPr>
            <w:r w:rsidDel="00000000" w:rsidR="00000000" w:rsidRPr="00000000">
              <w:rPr>
                <w:rtl w:val="0"/>
              </w:rPr>
            </w:r>
          </w:p>
        </w:tc>
        <w:tc>
          <w:tcPr>
            <w:shd w:fill="auto" w:val="clear"/>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spacing w:after="120" w:lineRule="auto"/>
        <w:jc w:val="both"/>
        <w:rPr/>
      </w:pPr>
      <w:r w:rsidDel="00000000" w:rsidR="00000000" w:rsidRPr="00000000">
        <w:rPr>
          <w:rtl w:val="0"/>
        </w:rPr>
        <w:t xml:space="preserve">declares that the person:</w:t>
      </w:r>
    </w:p>
    <w:tbl>
      <w:tblPr>
        <w:tblStyle w:val="Table3"/>
        <w:tblW w:w="9639.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blHeader w:val="0"/>
        </w:trPr>
        <w:tc>
          <w:tcPr>
            <w:shd w:fill="auto" w:val="clear"/>
          </w:tcPr>
          <w:p w:rsidR="00000000" w:rsidDel="00000000" w:rsidP="00000000" w:rsidRDefault="00000000" w:rsidRPr="00000000" w14:paraId="00000020">
            <w:pPr>
              <w:numPr>
                <w:ilvl w:val="0"/>
                <w:numId w:val="5"/>
              </w:numPr>
              <w:spacing w:after="120" w:lineRule="auto"/>
              <w:ind w:left="499" w:hanging="357"/>
              <w:jc w:val="both"/>
              <w:rPr/>
            </w:pPr>
            <w:r w:rsidDel="00000000" w:rsidR="00000000" w:rsidRPr="00000000">
              <w:rPr>
                <w:rtl w:val="0"/>
              </w:rPr>
              <w:t xml:space="preserve">is eligible in accordance with the criteria set out in the specific call for proposals;</w:t>
            </w:r>
          </w:p>
        </w:tc>
      </w:tr>
      <w:tr>
        <w:trPr>
          <w:cantSplit w:val="0"/>
          <w:tblHeader w:val="0"/>
        </w:trPr>
        <w:tc>
          <w:tcPr>
            <w:shd w:fill="auto" w:val="clear"/>
          </w:tcPr>
          <w:p w:rsidR="00000000" w:rsidDel="00000000" w:rsidP="00000000" w:rsidRDefault="00000000" w:rsidRPr="00000000" w14:paraId="00000021">
            <w:pPr>
              <w:numPr>
                <w:ilvl w:val="0"/>
                <w:numId w:val="5"/>
              </w:numPr>
              <w:spacing w:after="120" w:lineRule="auto"/>
              <w:ind w:left="499" w:hanging="357"/>
              <w:jc w:val="both"/>
              <w:rPr/>
            </w:pPr>
            <w:r w:rsidDel="00000000" w:rsidR="00000000" w:rsidRPr="00000000">
              <w:rPr>
                <w:rtl w:val="0"/>
              </w:rPr>
              <w:t xml:space="preserve">has the required financial and operational capacity as set out in the specific call for proposals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2">
            <w:pPr>
              <w:numPr>
                <w:ilvl w:val="0"/>
                <w:numId w:val="5"/>
              </w:numPr>
              <w:spacing w:after="120" w:lineRule="auto"/>
              <w:ind w:left="499" w:hanging="357"/>
              <w:jc w:val="both"/>
              <w:rPr/>
            </w:pPr>
            <w:r w:rsidDel="00000000" w:rsidR="00000000" w:rsidRPr="00000000">
              <w:rPr>
                <w:rtl w:val="0"/>
              </w:rPr>
              <w:t xml:space="preserve">has not received any other Union funding to carry out the [</w:t>
            </w:r>
            <w:r w:rsidDel="00000000" w:rsidR="00000000" w:rsidRPr="00000000">
              <w:rPr>
                <w:highlight w:val="cyan"/>
                <w:rtl w:val="0"/>
              </w:rPr>
              <w:t xml:space="preserve">Name of the project</w:t>
            </w:r>
            <w:r w:rsidDel="00000000" w:rsidR="00000000" w:rsidRPr="00000000">
              <w:rPr>
                <w:rtl w:val="0"/>
              </w:rPr>
              <w:t xml:space="preserve">] subject of this sub-grant application and commits to declare immediately to the contracting authority any other such Union funding it would receive until the end of the [</w:t>
            </w:r>
            <w:r w:rsidDel="00000000" w:rsidR="00000000" w:rsidRPr="00000000">
              <w:rPr>
                <w:highlight w:val="cyan"/>
                <w:rtl w:val="0"/>
              </w:rPr>
              <w:t xml:space="preserve">Name of the project</w:t>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3">
            <w:pPr>
              <w:numPr>
                <w:ilvl w:val="0"/>
                <w:numId w:val="5"/>
              </w:numPr>
              <w:spacing w:after="120" w:lineRule="auto"/>
              <w:ind w:left="499" w:hanging="357"/>
              <w:jc w:val="both"/>
              <w:rPr/>
            </w:pPr>
            <w:r w:rsidDel="00000000" w:rsidR="00000000" w:rsidRPr="00000000">
              <w:rPr>
                <w:rtl w:val="0"/>
              </w:rPr>
              <w:t xml:space="preserve">has not already obtained a contribution from another project belonging to the same call for proposal EuropeAid/160048/DH/ACT/Multi</w:t>
            </w:r>
          </w:p>
        </w:tc>
      </w:tr>
    </w:tbl>
    <w:p w:rsidR="00000000" w:rsidDel="00000000" w:rsidP="00000000" w:rsidRDefault="00000000" w:rsidRPr="00000000" w14:paraId="00000024">
      <w:pPr>
        <w:rPr>
          <w:rFonts w:ascii="Times" w:cs="Times" w:eastAsia="Times" w:hAnsi="Times"/>
          <w:b w:val="1"/>
          <w:i w:val="1"/>
          <w:smallCaps w:val="1"/>
          <w:u w:val="single"/>
        </w:rPr>
      </w:pPr>
      <w:r w:rsidDel="00000000" w:rsidR="00000000" w:rsidRPr="00000000">
        <w:rPr>
          <w:rtl w:val="0"/>
        </w:rPr>
      </w:r>
    </w:p>
    <w:p w:rsidR="00000000" w:rsidDel="00000000" w:rsidP="00000000" w:rsidRDefault="00000000" w:rsidRPr="00000000" w14:paraId="00000025">
      <w:pPr>
        <w:rPr>
          <w:rFonts w:ascii="Times" w:cs="Times" w:eastAsia="Times" w:hAnsi="Times"/>
          <w:b w:val="1"/>
          <w:i w:val="1"/>
          <w:smallCaps w:val="1"/>
          <w:u w:val="single"/>
        </w:rPr>
      </w:pPr>
      <w:r w:rsidDel="00000000" w:rsidR="00000000" w:rsidRPr="00000000">
        <w:rPr>
          <w:rFonts w:ascii="Times" w:cs="Times" w:eastAsia="Times" w:hAnsi="Times"/>
          <w:b w:val="1"/>
          <w:i w:val="1"/>
          <w:smallCaps w:val="1"/>
          <w:u w:val="single"/>
          <w:rtl w:val="0"/>
        </w:rPr>
        <w:t xml:space="preserve">If any of the above requirements is not satisfied, please indicate</w:t>
      </w:r>
      <w:r w:rsidDel="00000000" w:rsidR="00000000" w:rsidRPr="00000000">
        <w:rPr>
          <w:i w:val="1"/>
          <w:u w:val="single"/>
          <w:rtl w:val="0"/>
        </w:rPr>
        <w:t xml:space="preserve"> in annex to this declaration which and </w:t>
      </w:r>
      <w:r w:rsidDel="00000000" w:rsidR="00000000" w:rsidRPr="00000000">
        <w:rPr>
          <w:rFonts w:ascii="Times" w:cs="Times" w:eastAsia="Times" w:hAnsi="Times"/>
          <w:b w:val="1"/>
          <w:i w:val="1"/>
          <w:smallCaps w:val="1"/>
          <w:u w:val="single"/>
          <w:rtl w:val="0"/>
        </w:rPr>
        <w:t xml:space="preserve"> the name of the concerned person with a brief explanation.</w:t>
      </w:r>
    </w:p>
    <w:p w:rsidR="00000000" w:rsidDel="00000000" w:rsidP="00000000" w:rsidRDefault="00000000" w:rsidRPr="00000000" w14:paraId="00000026">
      <w:pPr>
        <w:rPr>
          <w:rFonts w:ascii="Times" w:cs="Times" w:eastAsia="Times" w:hAnsi="Times"/>
          <w:b w:val="1"/>
          <w:i w:val="1"/>
          <w:smallCaps w:val="1"/>
          <w:u w:val="single"/>
        </w:rPr>
      </w:pPr>
      <w:r w:rsidDel="00000000" w:rsidR="00000000" w:rsidRPr="00000000">
        <w:rPr>
          <w:rtl w:val="0"/>
        </w:rPr>
      </w:r>
    </w:p>
    <w:p w:rsidR="00000000" w:rsidDel="00000000" w:rsidP="00000000" w:rsidRDefault="00000000" w:rsidRPr="00000000" w14:paraId="00000027">
      <w:pPr>
        <w:pStyle w:val="Title"/>
        <w:spacing w:after="120" w:before="240" w:lineRule="auto"/>
        <w:rPr/>
      </w:pPr>
      <w:r w:rsidDel="00000000" w:rsidR="00000000" w:rsidRPr="00000000">
        <w:rPr>
          <w:rtl w:val="0"/>
        </w:rPr>
        <w:t xml:space="preserve">I – Situations of exclusion concerning the person</w:t>
      </w:r>
    </w:p>
    <w:tbl>
      <w:tblPr>
        <w:tblStyle w:val="Table4"/>
        <w:tblW w:w="978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2"/>
        <w:tblGridChange w:id="0">
          <w:tblGrid>
            <w:gridCol w:w="9782"/>
          </w:tblGrid>
        </w:tblGridChange>
      </w:tblGrid>
      <w:tr>
        <w:trPr>
          <w:cantSplit w:val="0"/>
          <w:tblHeader w:val="0"/>
        </w:trPr>
        <w:tc>
          <w:tcPr>
            <w:shd w:fill="auto" w:val="clear"/>
          </w:tcPr>
          <w:p w:rsidR="00000000" w:rsidDel="00000000" w:rsidP="00000000" w:rsidRDefault="00000000" w:rsidRPr="00000000" w14:paraId="00000028">
            <w:pPr>
              <w:numPr>
                <w:ilvl w:val="0"/>
                <w:numId w:val="5"/>
              </w:numPr>
              <w:spacing w:after="120" w:before="240" w:lineRule="auto"/>
              <w:ind w:left="502" w:hanging="360"/>
              <w:jc w:val="both"/>
              <w:rPr/>
            </w:pPr>
            <w:r w:rsidDel="00000000" w:rsidR="00000000" w:rsidRPr="00000000">
              <w:rPr>
                <w:rtl w:val="0"/>
              </w:rPr>
              <w:t xml:space="preserve"> declares that the above-mentioned person is </w:t>
            </w:r>
            <w:r w:rsidDel="00000000" w:rsidR="00000000" w:rsidRPr="00000000">
              <w:rPr>
                <w:b w:val="1"/>
                <w:u w:val="single"/>
                <w:rtl w:val="0"/>
              </w:rPr>
              <w:t xml:space="preserve">not</w:t>
            </w:r>
            <w:r w:rsidDel="00000000" w:rsidR="00000000" w:rsidRPr="00000000">
              <w:rPr>
                <w:rtl w:val="0"/>
              </w:rPr>
              <w:t xml:space="preserve"> in one of the following situations. </w:t>
            </w:r>
            <w:r w:rsidDel="00000000" w:rsidR="00000000" w:rsidRPr="00000000">
              <w:rPr>
                <w:b w:val="1"/>
                <w:i w:val="1"/>
                <w:u w:val="single"/>
                <w:rtl w:val="0"/>
              </w:rPr>
              <w:t xml:space="preserve">If yes, please indicate in annex to this declaration which situation and the name(s) of the concerned person with a brief explanation</w:t>
            </w:r>
            <w:r w:rsidDel="00000000" w:rsidR="00000000" w:rsidRPr="00000000">
              <w:rPr>
                <w:b w:val="1"/>
                <w:u w:val="single"/>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r>
      <w:tr>
        <w:trPr>
          <w:cantSplit w:val="0"/>
          <w:tblHeader w:val="0"/>
        </w:trPr>
        <w:tc>
          <w:tcPr>
            <w:shd w:fill="auto" w:val="clear"/>
          </w:tcPr>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it is in breach of its obligations relating to the payment of taxes or social security contributions in accordance with the applicable law;</w:t>
            </w:r>
          </w:p>
        </w:tc>
      </w:tr>
      <w:tr>
        <w:trPr>
          <w:cantSplit w:val="0"/>
          <w:trHeight w:val="4210" w:hRule="atLeast"/>
          <w:tblHeader w:val="0"/>
        </w:trPr>
        <w:tc>
          <w:tcPr>
            <w:shd w:fill="auto" w:val="clear"/>
          </w:tcPr>
          <w:p w:rsidR="00000000" w:rsidDel="00000000" w:rsidP="00000000" w:rsidRDefault="00000000" w:rsidRPr="00000000" w14:paraId="0000002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it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fraudulently or negligently misrepresenting information required for the verification of the absence of grounds for exclusion or the fulfilment of eligibility and selection criteria or in the performance of a contract, an agreement or a grant decision;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entering into agreement with other persons with the aim of distorting competition;</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violating intellectual property rights;</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attempting to influence the decision-making process of the Commission/ the Agency during the award procedure;</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attempting to obtain confidential information that may confer upon it undue advantages in the award procedure;</w:t>
            </w:r>
          </w:p>
        </w:tc>
      </w:tr>
      <w:tr>
        <w:trPr>
          <w:cantSplit w:val="0"/>
          <w:trHeight w:val="454" w:hRule="atLeast"/>
          <w:tblHeader w:val="0"/>
        </w:trPr>
        <w:tc>
          <w:tcPr>
            <w:shd w:fill="auto" w:val="clear"/>
          </w:tcPr>
          <w:p w:rsidR="00000000" w:rsidDel="00000000" w:rsidP="00000000" w:rsidRDefault="00000000" w:rsidRPr="00000000" w14:paraId="0000003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that it is guilty of any of the following:</w:t>
            </w:r>
          </w:p>
        </w:tc>
      </w:tr>
      <w:tr>
        <w:trPr>
          <w:cantSplit w:val="0"/>
          <w:tblHeader w:val="0"/>
        </w:trPr>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 within the meaning of Article 3 of Directive (EU) 2017/1371 and Article 1 of the Convention on the protection of the European Communities' financial interests, drawn up by the Council Act of 26 July 1995;</w:t>
            </w:r>
          </w:p>
        </w:tc>
      </w:tr>
      <w:tr>
        <w:trPr>
          <w:cantSplit w:val="0"/>
          <w:tblHeader w:val="0"/>
        </w:trP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the applicable law;</w:t>
            </w:r>
          </w:p>
        </w:tc>
      </w:tr>
      <w:tr>
        <w:trPr>
          <w:cantSplit w:val="0"/>
          <w:tblHeader w:val="0"/>
        </w:trPr>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conduct related to a criminal organisation, as referred to in Article 2 of Council Framework Decision 2008/841/JHA;</w:t>
            </w:r>
          </w:p>
        </w:tc>
      </w:tr>
      <w:tr>
        <w:trPr>
          <w:cantSplit w:val="0"/>
          <w:tblHeader w:val="0"/>
        </w:trPr>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money laundering or terrorist financing within the meaning of Article 1(3), (4) and (5) of Directive (EU) 2015/849 of the European Parliament and of the Council;</w:t>
            </w:r>
          </w:p>
        </w:tc>
      </w:tr>
      <w:tr>
        <w:trPr>
          <w:cantSplit w:val="0"/>
          <w:tblHeader w:val="0"/>
        </w:trPr>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terrorist  offences or offences linked to terrorist activities, as defined in Articles 1 and 3 of Council Framework Decision 2002/475/JHA, respectively, or inciting, aiding, abetting or attempting to commit such offences, as referred to in Article 4 of that Decision;</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child labour or other offences concerning trafficking in human beings as referred to in Article 2 of Directive 2011/36/EU of the European Parliament and of the Council;</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shown significant deficiencies in complying with the main obligations in the performance of a contract, an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trPr>
          <w:cantSplit w:val="0"/>
          <w:tblHeader w:val="0"/>
        </w:trPr>
        <w:tc>
          <w:tcPr>
            <w:shd w:fill="auto" w:val="clear"/>
          </w:tcPr>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it has committed an irregularity within the meaning of Article 1(2) of Council Regulation (EC, Euratom) No 2988/95;</w:t>
            </w:r>
          </w:p>
        </w:tc>
      </w:tr>
      <w:tr>
        <w:trPr>
          <w:cantSplit w:val="0"/>
          <w:tblHeader w:val="0"/>
        </w:trPr>
        <w:tc>
          <w:tcPr>
            <w:shd w:fill="auto" w:val="clear"/>
          </w:tcPr>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trPr>
          <w:cantSplit w:val="0"/>
          <w:tblHeader w:val="0"/>
        </w:trPr>
        <w:tc>
          <w:tcPr>
            <w:shd w:fill="auto" w:val="clear"/>
          </w:tcPr>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 for legal persons and entities without legal personality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has been established by a final judgment or final administrative decision that the person has been created with the intent provided for in point (g);</w:t>
            </w:r>
          </w:p>
        </w:tc>
      </w:tr>
      <w:tr>
        <w:trPr>
          <w:cantSplit w:val="0"/>
          <w:tblHeader w:val="0"/>
        </w:trPr>
        <w:tc>
          <w:tcPr>
            <w:shd w:fill="auto" w:val="clear"/>
          </w:tcPr>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situations referred to in points (c) to (h) above the person  is subject to: </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facts established in the context of audits or investigations carried out by the European Public Prosecutor’s Office after its establishment, the Court of Auditors, the European Anti-Fraud Office or internal auditor, or any other check, audit or control performed under the responsibility of an authorising officer of an EU institution, of a European office or of an EU agency or body; </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non-final judgments or non-final administrative decisions which may include disciplinary measures taken by the competent supervisory body responsible for the verification of the application of standards of professional ethics; </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facts referred to in decisions of entities or persons being entrusted with EU budget implementation tasks; </w:t>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transmitted by Member States implementing Union funds;</w:t>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the Commission relating to the infringement of Union competition law or of a national competent authority relating to the infringement of Union or national competition law; or</w:t>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exclusion by an authorising officer of an EU institution, of a European office or of an EU agency or body. </w:t>
            </w:r>
          </w:p>
        </w:tc>
      </w:tr>
    </w:tbl>
    <w:p w:rsidR="00000000" w:rsidDel="00000000" w:rsidP="00000000" w:rsidRDefault="00000000" w:rsidRPr="00000000" w14:paraId="00000043">
      <w:pPr>
        <w:pStyle w:val="Title"/>
        <w:rPr/>
      </w:pPr>
      <w:r w:rsidDel="00000000" w:rsidR="00000000" w:rsidRPr="00000000">
        <w:rPr>
          <w:b w:val="0"/>
          <w:smallCaps w:val="0"/>
          <w:rtl w:val="0"/>
        </w:rPr>
        <w:t xml:space="preserve">II – </w:t>
      </w:r>
      <w:r w:rsidDel="00000000" w:rsidR="00000000" w:rsidRPr="00000000">
        <w:rPr>
          <w:rtl w:val="0"/>
        </w:rPr>
        <w:t xml:space="preserve">situations of exclusion concerning a natural person who is essential for the award or the implementation of the action or work programme subject to the grant application</w:t>
      </w:r>
      <w:r w:rsidDel="00000000" w:rsidR="00000000" w:rsidRPr="00000000">
        <w:rPr>
          <w:b w:val="0"/>
          <w:smallCaps w:val="0"/>
          <w:vertAlign w:val="superscript"/>
        </w:rPr>
        <w:footnoteReference w:customMarkFollows="0" w:id="2"/>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5"/>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8"/>
        <w:tblGridChange w:id="0">
          <w:tblGrid>
            <w:gridCol w:w="9828"/>
          </w:tblGrid>
        </w:tblGridChange>
      </w:tblGrid>
      <w:tr>
        <w:trPr>
          <w:cantSplit w:val="0"/>
          <w:tblHeader w:val="0"/>
        </w:trPr>
        <w:tc>
          <w:tcPr>
            <w:shd w:fill="auto" w:val="clear"/>
            <w:vAlign w:val="center"/>
          </w:tcPr>
          <w:p w:rsidR="00000000" w:rsidDel="00000000" w:rsidP="00000000" w:rsidRDefault="00000000" w:rsidRPr="00000000" w14:paraId="00000045">
            <w:pPr>
              <w:spacing w:after="40" w:before="40" w:lineRule="auto"/>
              <w:ind w:left="567" w:hanging="425"/>
              <w:jc w:val="both"/>
              <w:rPr/>
            </w:pPr>
            <w:r w:rsidDel="00000000" w:rsidR="00000000" w:rsidRPr="00000000">
              <w:rPr>
                <w:rtl w:val="0"/>
              </w:rPr>
              <w:t xml:space="preserve">(5) declares that a natural person who is essential for the award or for the implementation of the [</w:t>
            </w:r>
            <w:r w:rsidDel="00000000" w:rsidR="00000000" w:rsidRPr="00000000">
              <w:rPr>
                <w:highlight w:val="cyan"/>
                <w:rtl w:val="0"/>
              </w:rPr>
              <w:t xml:space="preserve">action</w:t>
            </w:r>
            <w:r w:rsidDel="00000000" w:rsidR="00000000" w:rsidRPr="00000000">
              <w:rPr>
                <w:rtl w:val="0"/>
              </w:rPr>
              <w:t xml:space="preserve">] subject to the sub-grant application is </w:t>
            </w:r>
            <w:r w:rsidDel="00000000" w:rsidR="00000000" w:rsidRPr="00000000">
              <w:rPr>
                <w:b w:val="1"/>
                <w:u w:val="single"/>
                <w:rtl w:val="0"/>
              </w:rPr>
              <w:t xml:space="preserve">not</w:t>
            </w:r>
            <w:r w:rsidDel="00000000" w:rsidR="00000000" w:rsidRPr="00000000">
              <w:rPr>
                <w:rtl w:val="0"/>
              </w:rPr>
              <w:t xml:space="preserve"> in one of the following situations</w:t>
            </w:r>
            <w:r w:rsidDel="00000000" w:rsidR="00000000" w:rsidRPr="00000000">
              <w:rPr>
                <w:b w:val="1"/>
                <w:i w:val="1"/>
                <w:u w:val="single"/>
                <w:rtl w:val="0"/>
              </w:rPr>
              <w:t xml:space="preserve"> If yes, please indicate in annex to this declaration which situation and the name(s) of the concerned person(s) with a brief explanation</w:t>
            </w:r>
            <w:r w:rsidDel="00000000" w:rsidR="00000000" w:rsidRPr="00000000">
              <w:rPr>
                <w:rtl w:val="0"/>
              </w:rPr>
              <w:t xml:space="preserve">: </w:t>
            </w:r>
          </w:p>
        </w:tc>
      </w:tr>
      <w:tr>
        <w:trPr>
          <w:cantSplit w:val="0"/>
          <w:tblHeader w:val="0"/>
        </w:trPr>
        <w:tc>
          <w:tcPr>
            <w:shd w:fill="auto" w:val="clea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(c) above (grave professional misconduct)</w:t>
            </w:r>
          </w:p>
        </w:tc>
      </w:tr>
      <w:tr>
        <w:trPr>
          <w:cantSplit w:val="0"/>
          <w:tblHeader w:val="0"/>
        </w:trPr>
        <w:tc>
          <w:tcPr>
            <w:shd w:fill="auto" w:val="cle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(d) above (fraud, corruption or other criminal offence)</w:t>
            </w:r>
          </w:p>
        </w:tc>
      </w:tr>
      <w:tr>
        <w:trPr>
          <w:cantSplit w:val="0"/>
          <w:tblHeader w:val="0"/>
        </w:trPr>
        <w:tc>
          <w:tcPr>
            <w:shd w:fill="auto" w:val="clea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(e) above (significant deficiencies in performance of a contract )</w:t>
            </w:r>
          </w:p>
        </w:tc>
      </w:tr>
      <w:tr>
        <w:trPr>
          <w:cantSplit w:val="0"/>
          <w:tblHeader w:val="0"/>
        </w:trPr>
        <w:tc>
          <w:tcPr>
            <w:shd w:fill="auto" w:val="cle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(f) above (irregularity)</w:t>
            </w:r>
          </w:p>
        </w:tc>
      </w:tr>
      <w:tr>
        <w:trPr>
          <w:cantSplit w:val="0"/>
          <w:tblHeader w:val="0"/>
        </w:trPr>
        <w:tc>
          <w:tcPr>
            <w:shd w:fill="auto" w:val="clear"/>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(g) above (creation of an entity with the intent to circumvent legal obligations)</w:t>
            </w:r>
          </w:p>
        </w:tc>
      </w:tr>
      <w:tr>
        <w:trPr>
          <w:cantSplit w:val="0"/>
          <w:tblHeader w:val="0"/>
        </w:trPr>
        <w:tc>
          <w:tcPr>
            <w:shd w:fill="auto" w:val="clea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(i) above</w:t>
            </w:r>
          </w:p>
        </w:tc>
      </w:tr>
    </w:tbl>
    <w:p w:rsidR="00000000" w:rsidDel="00000000" w:rsidP="00000000" w:rsidRDefault="00000000" w:rsidRPr="00000000" w14:paraId="0000004C">
      <w:pPr>
        <w:pStyle w:val="Title"/>
        <w:rPr/>
      </w:pPr>
      <w:r w:rsidDel="00000000" w:rsidR="00000000" w:rsidRPr="00000000">
        <w:rPr>
          <w:rtl w:val="0"/>
        </w:rPr>
        <w:t xml:space="preserve">III – Situations of exclusion concerning beneficial owners and</w:t>
      </w:r>
      <w:r w:rsidDel="00000000" w:rsidR="00000000" w:rsidRPr="00000000">
        <w:rPr>
          <w:u w:val="single"/>
          <w:rtl w:val="0"/>
        </w:rPr>
        <w:t xml:space="preserve"> natural or legal persons</w:t>
      </w:r>
      <w:r w:rsidDel="00000000" w:rsidR="00000000" w:rsidRPr="00000000">
        <w:rPr>
          <w:rtl w:val="0"/>
        </w:rPr>
        <w:t xml:space="preserve"> with power of representation, decision-making or control </w:t>
      </w:r>
    </w:p>
    <w:p w:rsidR="00000000" w:rsidDel="00000000" w:rsidP="00000000" w:rsidRDefault="00000000" w:rsidRPr="00000000" w14:paraId="0000004D">
      <w:pPr>
        <w:spacing w:after="240" w:before="120" w:lineRule="auto"/>
        <w:jc w:val="center"/>
        <w:rPr/>
      </w:pPr>
      <w:r w:rsidDel="00000000" w:rsidR="00000000" w:rsidRPr="00000000">
        <w:rPr>
          <w:b w:val="1"/>
          <w:i w:val="1"/>
          <w:u w:val="single"/>
          <w:rtl w:val="0"/>
        </w:rPr>
        <w:t xml:space="preserve">Not applicable to natural persons, Member States and local authorities</w:t>
      </w:r>
      <w:r w:rsidDel="00000000" w:rsidR="00000000" w:rsidRPr="00000000">
        <w:rPr>
          <w:rtl w:val="0"/>
        </w:rPr>
      </w:r>
    </w:p>
    <w:tbl>
      <w:tblPr>
        <w:tblStyle w:val="Table6"/>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shd w:fill="auto" w:val="clear"/>
            <w:vAlign w:val="center"/>
          </w:tcPr>
          <w:p w:rsidR="00000000" w:rsidDel="00000000" w:rsidP="00000000" w:rsidRDefault="00000000" w:rsidRPr="00000000" w14:paraId="0000004E">
            <w:pPr>
              <w:numPr>
                <w:ilvl w:val="0"/>
                <w:numId w:val="9"/>
              </w:numPr>
              <w:spacing w:after="120" w:before="120" w:lineRule="auto"/>
              <w:ind w:left="502" w:hanging="360"/>
              <w:jc w:val="both"/>
              <w:rPr>
                <w:rFonts w:ascii="Times" w:cs="Times" w:eastAsia="Times" w:hAnsi="Times"/>
                <w:b w:val="1"/>
                <w:smallCaps w:val="1"/>
              </w:rPr>
            </w:pPr>
            <w:r w:rsidDel="00000000" w:rsidR="00000000" w:rsidRPr="00000000">
              <w:rPr>
                <w:rtl w:val="0"/>
              </w:rPr>
              <w:t xml:space="preserve">declares that a natural or legal person who is a member of the administrative, management or supervisory body of the above-mentioned person(s), or who has powers of representation, decision or control with regard to the above-mentioned legal person(s) (this covers e.g. company directors, members of management or supervisory bodies, and cases where one natural or legal person holds a majority of shares), or a beneficial owner of the person(s) (as referred to in point 6 of article 3 of Directive (EU) No 2015/849)  is </w:t>
            </w:r>
            <w:r w:rsidDel="00000000" w:rsidR="00000000" w:rsidRPr="00000000">
              <w:rPr>
                <w:b w:val="1"/>
                <w:u w:val="single"/>
                <w:rtl w:val="0"/>
              </w:rPr>
              <w:t xml:space="preserve">not</w:t>
            </w:r>
            <w:r w:rsidDel="00000000" w:rsidR="00000000" w:rsidRPr="00000000">
              <w:rPr>
                <w:rtl w:val="0"/>
              </w:rPr>
              <w:t xml:space="preserve"> in one of the following situations. </w:t>
            </w:r>
            <w:r w:rsidDel="00000000" w:rsidR="00000000" w:rsidRPr="00000000">
              <w:rPr>
                <w:b w:val="1"/>
                <w:i w:val="1"/>
                <w:u w:val="single"/>
                <w:rtl w:val="0"/>
              </w:rPr>
              <w:t xml:space="preserve">If yes, please indicate in annex to this declaration which situation and the name(s) of the concerned person(s) with a brief explanation.</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(c) above (grave professional misconduct)</w:t>
            </w:r>
          </w:p>
        </w:tc>
      </w:tr>
      <w:tr>
        <w:trPr>
          <w:cantSplit w:val="0"/>
          <w:trHeight w:val="567" w:hRule="atLeast"/>
          <w:tblHeader w:val="0"/>
        </w:trPr>
        <w:tc>
          <w:tcPr>
            <w:shd w:fill="auto" w:val="clear"/>
            <w:vAlign w:val="center"/>
          </w:tcPr>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(d) above (fraud, corruption or other criminal offence)</w:t>
            </w:r>
          </w:p>
        </w:tc>
      </w:tr>
      <w:tr>
        <w:trPr>
          <w:cantSplit w:val="0"/>
          <w:trHeight w:val="567" w:hRule="atLeast"/>
          <w:tblHeader w:val="0"/>
        </w:trPr>
        <w:tc>
          <w:tcPr>
            <w:shd w:fill="auto" w:val="clear"/>
            <w:vAlign w:val="center"/>
          </w:tcPr>
          <w:p w:rsidR="00000000" w:rsidDel="00000000" w:rsidP="00000000" w:rsidRDefault="00000000" w:rsidRPr="00000000" w14:paraId="0000005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(e) above (significant deficiencies in performance of a contract)</w:t>
            </w:r>
          </w:p>
        </w:tc>
      </w:tr>
      <w:tr>
        <w:trPr>
          <w:cantSplit w:val="0"/>
          <w:trHeight w:val="567" w:hRule="atLeast"/>
          <w:tblHeader w:val="0"/>
        </w:trPr>
        <w:tc>
          <w:tcPr>
            <w:shd w:fill="auto" w:val="clear"/>
            <w:vAlign w:val="center"/>
          </w:tcPr>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(f) above (irregularity)</w:t>
            </w:r>
          </w:p>
        </w:tc>
      </w:tr>
      <w:tr>
        <w:trPr>
          <w:cantSplit w:val="0"/>
          <w:trHeight w:val="567" w:hRule="atLeast"/>
          <w:tblHeader w:val="0"/>
        </w:trPr>
        <w:tc>
          <w:tcPr>
            <w:shd w:fill="auto" w:val="clear"/>
            <w:vAlign w:val="center"/>
          </w:tcPr>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(g) above (creation of an entity with the intent to circumvent legal obligations)</w:t>
            </w:r>
          </w:p>
        </w:tc>
      </w:tr>
      <w:tr>
        <w:trPr>
          <w:cantSplit w:val="0"/>
          <w:trHeight w:val="567" w:hRule="atLeast"/>
          <w:tblHeader w:val="0"/>
        </w:trPr>
        <w:tc>
          <w:tcPr>
            <w:shd w:fill="auto" w:val="clear"/>
            <w:vAlign w:val="center"/>
          </w:tcPr>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(h) above (person created with the intent to circumvent legal obligations)</w:t>
            </w:r>
          </w:p>
        </w:tc>
      </w:tr>
      <w:tr>
        <w:trPr>
          <w:cantSplit w:val="0"/>
          <w:trHeight w:val="567" w:hRule="atLeast"/>
          <w:tblHeader w:val="0"/>
        </w:trPr>
        <w:tc>
          <w:tcPr>
            <w:shd w:fill="auto" w:val="clear"/>
            <w:vAlign w:val="center"/>
          </w:tcPr>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(i) above</w:t>
            </w:r>
          </w:p>
        </w:tc>
      </w:tr>
    </w:tbl>
    <w:p w:rsidR="00000000" w:rsidDel="00000000" w:rsidP="00000000" w:rsidRDefault="00000000" w:rsidRPr="00000000" w14:paraId="00000056">
      <w:pPr>
        <w:pStyle w:val="Title"/>
        <w:spacing w:after="120" w:lineRule="auto"/>
        <w:rPr/>
      </w:pPr>
      <w:r w:rsidDel="00000000" w:rsidR="00000000" w:rsidRPr="00000000">
        <w:rPr>
          <w:rtl w:val="0"/>
        </w:rPr>
        <w:t xml:space="preserve">IV – Situations of exclusion concerning natural or legal persons assuming unlimited liability for the debts of the person</w:t>
      </w:r>
    </w:p>
    <w:p w:rsidR="00000000" w:rsidDel="00000000" w:rsidP="00000000" w:rsidRDefault="00000000" w:rsidRPr="00000000" w14:paraId="00000057">
      <w:pPr>
        <w:spacing w:after="240" w:before="120" w:lineRule="auto"/>
        <w:jc w:val="center"/>
        <w:rPr/>
      </w:pPr>
      <w:r w:rsidDel="00000000" w:rsidR="00000000" w:rsidRPr="00000000">
        <w:rPr>
          <w:b w:val="1"/>
          <w:i w:val="1"/>
          <w:u w:val="single"/>
          <w:rtl w:val="0"/>
        </w:rPr>
        <w:t xml:space="preserve">This section applies only to declarations that include a person for which a natural or legal person assumes unlimited liability for debts</w:t>
      </w:r>
      <w:r w:rsidDel="00000000" w:rsidR="00000000" w:rsidRPr="00000000">
        <w:rPr>
          <w:rtl w:val="0"/>
        </w:rPr>
      </w:r>
    </w:p>
    <w:tbl>
      <w:tblPr>
        <w:tblStyle w:val="Table7"/>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shd w:fill="auto" w:val="clear"/>
            <w:vAlign w:val="center"/>
          </w:tcPr>
          <w:p w:rsidR="00000000" w:rsidDel="00000000" w:rsidP="00000000" w:rsidRDefault="00000000" w:rsidRPr="00000000" w14:paraId="00000058">
            <w:pPr>
              <w:numPr>
                <w:ilvl w:val="0"/>
                <w:numId w:val="9"/>
              </w:numPr>
              <w:spacing w:after="120" w:lineRule="auto"/>
              <w:ind w:left="502" w:hanging="360"/>
              <w:jc w:val="both"/>
              <w:rPr>
                <w:rFonts w:ascii="Calibri" w:cs="Calibri" w:eastAsia="Calibri" w:hAnsi="Calibri"/>
                <w:b w:val="1"/>
                <w:smallCaps w:val="1"/>
              </w:rPr>
            </w:pPr>
            <w:r w:rsidDel="00000000" w:rsidR="00000000" w:rsidRPr="00000000">
              <w:rPr>
                <w:rtl w:val="0"/>
              </w:rPr>
              <w:t xml:space="preserve">declares that a natural or legal person that assumes unlimited liability for the debts of the above-mentioned person(s) is </w:t>
            </w:r>
            <w:r w:rsidDel="00000000" w:rsidR="00000000" w:rsidRPr="00000000">
              <w:rPr>
                <w:b w:val="1"/>
                <w:u w:val="single"/>
                <w:rtl w:val="0"/>
              </w:rPr>
              <w:t xml:space="preserve">not</w:t>
            </w:r>
            <w:r w:rsidDel="00000000" w:rsidR="00000000" w:rsidRPr="00000000">
              <w:rPr>
                <w:rtl w:val="0"/>
              </w:rPr>
              <w:t xml:space="preserve"> in one of the following situations. </w:t>
            </w:r>
            <w:r w:rsidDel="00000000" w:rsidR="00000000" w:rsidRPr="00000000">
              <w:rPr>
                <w:b w:val="1"/>
                <w:i w:val="1"/>
                <w:u w:val="single"/>
                <w:rtl w:val="0"/>
              </w:rPr>
              <w:t xml:space="preserve">If yes, please indicate in annex to this declaration which situation and the name(s) of the concerned person(s) with a brief explanation.</w:t>
            </w:r>
            <w:r w:rsidDel="00000000" w:rsidR="00000000" w:rsidRPr="00000000">
              <w:rPr>
                <w:rtl w:val="0"/>
              </w:rPr>
            </w:r>
          </w:p>
        </w:tc>
      </w:tr>
      <w:tr>
        <w:trPr>
          <w:cantSplit w:val="0"/>
          <w:trHeight w:val="468" w:hRule="atLeast"/>
          <w:tblHeader w:val="0"/>
        </w:trPr>
        <w:tc>
          <w:tcPr>
            <w:shd w:fill="auto" w:val="clear"/>
            <w:vAlign w:val="center"/>
          </w:tcPr>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w:cs="Times" w:eastAsia="Times" w:hAnsi="Times"/>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(a) above (bankruptcy)</w:t>
            </w:r>
            <w:r w:rsidDel="00000000" w:rsidR="00000000" w:rsidRPr="00000000">
              <w:rPr>
                <w:rtl w:val="0"/>
              </w:rPr>
            </w:r>
          </w:p>
        </w:tc>
      </w:tr>
      <w:tr>
        <w:trPr>
          <w:cantSplit w:val="0"/>
          <w:trHeight w:val="417" w:hRule="atLeast"/>
          <w:tblHeader w:val="0"/>
        </w:trPr>
        <w:tc>
          <w:tcPr>
            <w:shd w:fill="auto" w:val="clear"/>
            <w:vAlign w:val="center"/>
          </w:tcPr>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(b) above (breach in payment of taxes or social security contributions)</w:t>
            </w:r>
          </w:p>
        </w:tc>
      </w:tr>
    </w:tbl>
    <w:p w:rsidR="00000000" w:rsidDel="00000000" w:rsidP="00000000" w:rsidRDefault="00000000" w:rsidRPr="00000000" w14:paraId="0000005B">
      <w:pPr>
        <w:pStyle w:val="Title"/>
        <w:rPr/>
      </w:pPr>
      <w:r w:rsidDel="00000000" w:rsidR="00000000" w:rsidRPr="00000000">
        <w:rPr>
          <w:rtl w:val="0"/>
        </w:rPr>
        <w:t xml:space="preserve">V – Grounds for rejection from this procedure</w:t>
      </w:r>
    </w:p>
    <w:tbl>
      <w:tblPr>
        <w:tblStyle w:val="Table8"/>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8"/>
        <w:tblGridChange w:id="0">
          <w:tblGrid>
            <w:gridCol w:w="9828"/>
          </w:tblGrid>
        </w:tblGridChange>
      </w:tblGrid>
      <w:tr>
        <w:trPr>
          <w:cantSplit w:val="0"/>
          <w:tblHeader w:val="0"/>
        </w:trPr>
        <w:tc>
          <w:tcPr>
            <w:shd w:fill="auto" w:val="clear"/>
          </w:tcPr>
          <w:p w:rsidR="00000000" w:rsidDel="00000000" w:rsidP="00000000" w:rsidRDefault="00000000" w:rsidRPr="00000000" w14:paraId="0000005C">
            <w:pPr>
              <w:spacing w:after="40" w:before="40" w:lineRule="auto"/>
              <w:ind w:left="502" w:hanging="360"/>
              <w:jc w:val="both"/>
              <w:rPr/>
            </w:pPr>
            <w:r w:rsidDel="00000000" w:rsidR="00000000" w:rsidRPr="00000000">
              <w:rPr>
                <w:rtl w:val="0"/>
              </w:rPr>
              <w:t xml:space="preserve">(8) declares that the [above-mentioned] the person:</w:t>
            </w:r>
          </w:p>
        </w:tc>
      </w:tr>
      <w:tr>
        <w:trPr>
          <w:cantSplit w:val="0"/>
          <w:tblHeader w:val="0"/>
        </w:trPr>
        <w:tc>
          <w:tcPr>
            <w:shd w:fill="auto"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previously involved in the preparation of documents used in this award procedure, where this entailed a breach of the principle of equality of treatment including distortion of competition that cannot be remedied otherwise.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If yes, please indicate in annex to this declaration the name(s) of the concerned person(s) with a brief explanation.</w:t>
            </w:r>
            <w:r w:rsidDel="00000000" w:rsidR="00000000" w:rsidRPr="00000000">
              <w:rPr>
                <w:rtl w:val="0"/>
              </w:rPr>
            </w:r>
          </w:p>
        </w:tc>
      </w:tr>
    </w:tbl>
    <w:p w:rsidR="00000000" w:rsidDel="00000000" w:rsidP="00000000" w:rsidRDefault="00000000" w:rsidRPr="00000000" w14:paraId="0000005E">
      <w:pPr>
        <w:pStyle w:val="Title"/>
        <w:spacing w:after="120" w:before="240" w:lineRule="auto"/>
        <w:rPr>
          <w:b w:val="0"/>
          <w:smallCaps w:val="0"/>
        </w:rPr>
      </w:pPr>
      <w:r w:rsidDel="00000000" w:rsidR="00000000" w:rsidRPr="00000000">
        <w:rPr>
          <w:rtl w:val="0"/>
        </w:rPr>
        <w:t xml:space="preserve">VI – Remedial measures</w:t>
      </w:r>
      <w:r w:rsidDel="00000000" w:rsidR="00000000" w:rsidRPr="00000000">
        <w:rPr>
          <w:rtl w:val="0"/>
        </w:rPr>
      </w:r>
    </w:p>
    <w:p w:rsidR="00000000" w:rsidDel="00000000" w:rsidP="00000000" w:rsidRDefault="00000000" w:rsidRPr="00000000" w14:paraId="0000005F">
      <w:pPr>
        <w:spacing w:after="120" w:before="120" w:lineRule="auto"/>
        <w:jc w:val="both"/>
        <w:rPr/>
      </w:pPr>
      <w:r w:rsidDel="00000000" w:rsidR="00000000" w:rsidRPr="00000000">
        <w:rPr>
          <w:rtl w:val="0"/>
        </w:rPr>
        <w:t xml:space="preserve">If  the person(s) declare  one of the </w:t>
      </w:r>
      <w:r w:rsidDel="00000000" w:rsidR="00000000" w:rsidRPr="00000000">
        <w:rPr>
          <w:color w:val="000000"/>
          <w:rtl w:val="0"/>
        </w:rPr>
        <w:t xml:space="preserve">situations of exclusion listed above, it/they must indicate measures it/they has/have taken to remedy the exclusion situation, thus demonstrating its/their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(d) of this declaration.</w:t>
      </w:r>
      <w:r w:rsidDel="00000000" w:rsidR="00000000" w:rsidRPr="00000000">
        <w:rPr>
          <w:rtl w:val="0"/>
        </w:rPr>
      </w:r>
    </w:p>
    <w:p w:rsidR="00000000" w:rsidDel="00000000" w:rsidP="00000000" w:rsidRDefault="00000000" w:rsidRPr="00000000" w14:paraId="00000060">
      <w:pPr>
        <w:pStyle w:val="Title"/>
        <w:spacing w:after="120" w:before="240" w:lineRule="auto"/>
        <w:rPr/>
      </w:pPr>
      <w:r w:rsidDel="00000000" w:rsidR="00000000" w:rsidRPr="00000000">
        <w:rPr>
          <w:rtl w:val="0"/>
        </w:rPr>
        <w:t xml:space="preserve">VII – Evidence upon request</w:t>
      </w:r>
    </w:p>
    <w:p w:rsidR="00000000" w:rsidDel="00000000" w:rsidP="00000000" w:rsidRDefault="00000000" w:rsidRPr="00000000" w14:paraId="00000061">
      <w:pPr>
        <w:spacing w:after="120" w:before="120" w:lineRule="auto"/>
        <w:ind w:firstLine="11"/>
        <w:jc w:val="both"/>
        <w:rPr/>
      </w:pPr>
      <w:r w:rsidDel="00000000" w:rsidR="00000000" w:rsidRPr="00000000">
        <w:rPr>
          <w:rtl w:val="0"/>
        </w:rPr>
        <w:t xml:space="preserve">The contracting authority may request any person subject to this declaration to provide information and the applicable evidence </w:t>
      </w:r>
      <w:r w:rsidDel="00000000" w:rsidR="00000000" w:rsidRPr="00000000">
        <w:rPr>
          <w:u w:val="single"/>
          <w:rtl w:val="0"/>
        </w:rPr>
        <w:t xml:space="preserve">on any natural or legal person that is member of an administrative, management or supervisory body</w:t>
      </w:r>
      <w:r w:rsidDel="00000000" w:rsidR="00000000" w:rsidRPr="00000000">
        <w:rPr>
          <w:rtl w:val="0"/>
        </w:rPr>
        <w:t xml:space="preserve"> or that have powers of representation, decision or control, including legal and </w:t>
      </w:r>
      <w:r w:rsidDel="00000000" w:rsidR="00000000" w:rsidRPr="00000000">
        <w:rPr>
          <w:u w:val="single"/>
          <w:rtl w:val="0"/>
        </w:rPr>
        <w:t xml:space="preserve">natural persons within the ownership and control structure and beneficial owners</w:t>
      </w:r>
      <w:r w:rsidDel="00000000" w:rsidR="00000000" w:rsidRPr="00000000">
        <w:rPr>
          <w:rtl w:val="0"/>
        </w:rPr>
        <w:t xml:space="preserve">, as well as on a </w:t>
      </w:r>
      <w:r w:rsidDel="00000000" w:rsidR="00000000" w:rsidRPr="00000000">
        <w:rPr>
          <w:u w:val="single"/>
          <w:rtl w:val="0"/>
        </w:rPr>
        <w:t xml:space="preserve">natural persons who are essential for the award or for the implementation of the action or work programme </w:t>
      </w:r>
      <w:r w:rsidDel="00000000" w:rsidR="00000000" w:rsidRPr="00000000">
        <w:rPr>
          <w:rtl w:val="0"/>
        </w:rPr>
        <w:t xml:space="preserve">subject to the grant application.</w:t>
      </w:r>
    </w:p>
    <w:p w:rsidR="00000000" w:rsidDel="00000000" w:rsidP="00000000" w:rsidRDefault="00000000" w:rsidRPr="00000000" w14:paraId="00000062">
      <w:pPr>
        <w:spacing w:after="120" w:before="120" w:lineRule="auto"/>
        <w:ind w:firstLine="11"/>
        <w:jc w:val="both"/>
        <w:rPr/>
      </w:pPr>
      <w:r w:rsidDel="00000000" w:rsidR="00000000" w:rsidRPr="00000000">
        <w:rPr>
          <w:rtl w:val="0"/>
        </w:rPr>
        <w:t xml:space="preserve">The contracting authority may request any person subject to this declaration to provide the applicable evidence </w:t>
      </w:r>
      <w:r w:rsidDel="00000000" w:rsidR="00000000" w:rsidRPr="00000000">
        <w:rPr>
          <w:u w:val="single"/>
          <w:rtl w:val="0"/>
        </w:rPr>
        <w:t xml:space="preserve">concerning the person itself and the natural or legal persons which assume unlimited liability for the debts of the person</w:t>
      </w:r>
      <w:r w:rsidDel="00000000" w:rsidR="00000000" w:rsidRPr="00000000">
        <w:rPr>
          <w:rtl w:val="0"/>
        </w:rPr>
        <w:t xml:space="preserve">.</w:t>
      </w:r>
    </w:p>
    <w:p w:rsidR="00000000" w:rsidDel="00000000" w:rsidP="00000000" w:rsidRDefault="00000000" w:rsidRPr="00000000" w14:paraId="00000063">
      <w:pPr>
        <w:spacing w:after="120" w:lineRule="auto"/>
        <w:ind w:firstLine="11"/>
        <w:jc w:val="both"/>
        <w:rPr/>
      </w:pPr>
      <w:r w:rsidDel="00000000" w:rsidR="00000000" w:rsidRPr="00000000">
        <w:rPr>
          <w:rtl w:val="0"/>
        </w:rPr>
        <w:t xml:space="preserve">Evidence may be requested as follows: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000000" w:rsidDel="00000000" w:rsidP="00000000" w:rsidRDefault="00000000" w:rsidRPr="00000000" w14:paraId="00000065">
      <w:pPr>
        <w:tabs>
          <w:tab w:val="left" w:pos="-480"/>
          <w:tab w:val="left" w:pos="-142"/>
          <w:tab w:val="left" w:pos="426"/>
          <w:tab w:val="left" w:pos="4680"/>
          <w:tab w:val="left" w:pos="8400"/>
        </w:tabs>
        <w:spacing w:after="280" w:before="280" w:lineRule="auto"/>
        <w:ind w:left="284" w:firstLine="0"/>
        <w:jc w:val="both"/>
        <w:rPr/>
      </w:pPr>
      <w:r w:rsidDel="00000000" w:rsidR="00000000" w:rsidRPr="00000000">
        <w:rPr>
          <w:rtl w:val="0"/>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000000" w:rsidDel="00000000" w:rsidP="00000000" w:rsidRDefault="00000000" w:rsidRPr="00000000" w14:paraId="00000066">
      <w:pPr>
        <w:spacing w:after="280" w:before="280" w:lineRule="auto"/>
        <w:jc w:val="both"/>
        <w:rPr/>
      </w:pPr>
      <w:r w:rsidDel="00000000" w:rsidR="00000000" w:rsidRPr="00000000">
        <w:rPr>
          <w:rtl w:val="0"/>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000000" w:rsidDel="00000000" w:rsidP="00000000" w:rsidRDefault="00000000" w:rsidRPr="00000000" w14:paraId="00000067">
      <w:pPr>
        <w:spacing w:after="280" w:before="280" w:lineRule="auto"/>
        <w:ind w:left="1" w:firstLine="1"/>
        <w:jc w:val="both"/>
        <w:rPr/>
      </w:pPr>
      <w:r w:rsidDel="00000000" w:rsidR="00000000" w:rsidRPr="00000000">
        <w:rPr>
          <w:rtl w:val="0"/>
        </w:rPr>
        <w:t xml:space="preserve">If selected to be awarded a grant, the person subject to this declaration accept(s) the terms and conditions laid down in the grant contract.</w:t>
      </w:r>
    </w:p>
    <w:p w:rsidR="00000000" w:rsidDel="00000000" w:rsidP="00000000" w:rsidRDefault="00000000" w:rsidRPr="00000000" w14:paraId="00000068">
      <w:pPr>
        <w:spacing w:after="280" w:before="280" w:lineRule="auto"/>
        <w:jc w:val="both"/>
        <w:rPr>
          <w:b w:val="1"/>
        </w:rPr>
      </w:pPr>
      <w:r w:rsidDel="00000000" w:rsidR="00000000" w:rsidRPr="00000000">
        <w:rPr>
          <w:b w:val="1"/>
          <w:rtl w:val="0"/>
        </w:rPr>
        <w:t xml:space="preserve">The above-mentioned person must immediately inform the contracting authority of any changes in the situations as declared.</w:t>
      </w:r>
    </w:p>
    <w:p w:rsidR="00000000" w:rsidDel="00000000" w:rsidP="00000000" w:rsidRDefault="00000000" w:rsidRPr="00000000" w14:paraId="00000069">
      <w:pPr>
        <w:spacing w:after="280" w:before="280" w:lineRule="auto"/>
        <w:jc w:val="both"/>
        <w:rPr>
          <w:b w:val="1"/>
        </w:rPr>
      </w:pPr>
      <w:r w:rsidDel="00000000" w:rsidR="00000000" w:rsidRPr="00000000">
        <w:rPr>
          <w:b w:val="1"/>
          <w:rtl w:val="0"/>
        </w:rPr>
        <w:t xml:space="preserve">The person subject to this declaration may be subject to rejection from this procedure and to administrative sanctions (exclusion or financial penalty) if any of the declarations or information provided as a condition for participating in this procedure prove to be false.</w:t>
      </w:r>
    </w:p>
    <w:p w:rsidR="00000000" w:rsidDel="00000000" w:rsidP="00000000" w:rsidRDefault="00000000" w:rsidRPr="00000000" w14:paraId="0000006A">
      <w:pPr>
        <w:tabs>
          <w:tab w:val="left" w:pos="4395"/>
          <w:tab w:val="left" w:pos="7797"/>
        </w:tabs>
        <w:spacing w:after="280" w:before="280" w:lineRule="auto"/>
        <w:jc w:val="both"/>
        <w:rPr/>
      </w:pPr>
      <w:r w:rsidDel="00000000" w:rsidR="00000000" w:rsidRPr="00000000">
        <w:rPr>
          <w:rtl w:val="0"/>
        </w:rPr>
        <w:t xml:space="preserve">Full name</w:t>
        <w:tab/>
        <w:t xml:space="preserve">Date</w:t>
        <w:tab/>
        <w:t xml:space="preserve">Signature</w:t>
      </w:r>
    </w:p>
    <w:p w:rsidR="00000000" w:rsidDel="00000000" w:rsidP="00000000" w:rsidRDefault="00000000" w:rsidRPr="00000000" w14:paraId="0000006B">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 applicable to pillar-assessed organisations.</w:t>
      </w:r>
    </w:p>
  </w:footnote>
  <w:footnote w:id="1">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2">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Where the natural person has been defined in the grant application as essential for the award or for implementation of the legal commitment in the meaning of Article 136(4)(c) Financial Regulation (e.g. principal investigator in a research project)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6">
    <w:lvl w:ilvl="0">
      <w:start w:val="1"/>
      <w:numFmt w:val="lowerLetter"/>
      <w:lvlText w:val="%1)"/>
      <w:lvlJc w:val="left"/>
      <w:pPr>
        <w:ind w:left="36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6"/>
      <w:numFmt w:val="decimal"/>
      <w:lvlText w:val="(%1)"/>
      <w:lvlJc w:val="left"/>
      <w:pPr>
        <w:ind w:left="502"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360" w:lineRule="auto"/>
    </w:pPr>
    <w:rPr>
      <w:rFonts w:ascii="Times" w:cs="Times" w:eastAsia="Times" w:hAnsi="Times"/>
      <w:b w:val="1"/>
      <w:smallCaps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360" w:lineRule="auto"/>
    </w:pPr>
    <w:rPr>
      <w:rFonts w:ascii="Times" w:cs="Times" w:eastAsia="Times" w:hAnsi="Times"/>
      <w:b w:val="1"/>
      <w:smallCaps w:val="1"/>
    </w:rPr>
  </w:style>
  <w:style w:type="paragraph" w:styleId="Normal" w:default="1">
    <w:name w:val="Normal"/>
    <w:qFormat w:val="1"/>
    <w:rsid w:val="00991F2F"/>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991F2F"/>
    <w:rPr>
      <w:vertAlign w:val="superscript"/>
    </w:rPr>
  </w:style>
  <w:style w:type="paragraph" w:styleId="FootnoteText">
    <w:name w:val="footnote text"/>
    <w:basedOn w:val="Normal"/>
    <w:link w:val="FootnoteTextChar"/>
    <w:semiHidden w:val="1"/>
    <w:rsid w:val="00991F2F"/>
    <w:pPr>
      <w:ind w:left="720" w:hanging="720"/>
      <w:jc w:val="both"/>
    </w:pPr>
    <w:rPr>
      <w:sz w:val="20"/>
      <w:szCs w:val="20"/>
      <w:lang w:eastAsia="zh-CN"/>
    </w:rPr>
  </w:style>
  <w:style w:type="character" w:styleId="FootnoteTextChar" w:customStyle="1">
    <w:name w:val="Footnote Text Char"/>
    <w:basedOn w:val="DefaultParagraphFont"/>
    <w:link w:val="FootnoteText"/>
    <w:semiHidden w:val="1"/>
    <w:rsid w:val="00991F2F"/>
    <w:rPr>
      <w:rFonts w:ascii="Times New Roman" w:cs="Times New Roman" w:eastAsia="Times New Roman" w:hAnsi="Times New Roman"/>
      <w:sz w:val="20"/>
      <w:szCs w:val="20"/>
      <w:lang w:eastAsia="zh-CN"/>
    </w:rPr>
  </w:style>
  <w:style w:type="paragraph" w:styleId="ListParagraph">
    <w:name w:val="List Paragraph"/>
    <w:basedOn w:val="Normal"/>
    <w:uiPriority w:val="34"/>
    <w:qFormat w:val="1"/>
    <w:rsid w:val="00991F2F"/>
    <w:pPr>
      <w:ind w:left="720"/>
      <w:contextualSpacing w:val="1"/>
    </w:pPr>
  </w:style>
  <w:style w:type="paragraph" w:styleId="BalloonText">
    <w:name w:val="Balloon Text"/>
    <w:basedOn w:val="Normal"/>
    <w:link w:val="BalloonTextChar"/>
    <w:uiPriority w:val="99"/>
    <w:semiHidden w:val="1"/>
    <w:unhideWhenUsed w:val="1"/>
    <w:rsid w:val="002B65A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B65A4"/>
    <w:rPr>
      <w:rFonts w:ascii="Segoe UI" w:cs="Segoe UI" w:eastAsia="Times New Roman" w:hAnsi="Segoe UI"/>
      <w:sz w:val="18"/>
      <w:szCs w:val="18"/>
      <w:lang w:eastAsia="en-GB"/>
    </w:rPr>
  </w:style>
  <w:style w:type="paragraph" w:styleId="Text1" w:customStyle="1">
    <w:name w:val="Text 1"/>
    <w:basedOn w:val="Normal"/>
    <w:link w:val="Text1Char"/>
    <w:rsid w:val="00D0119F"/>
    <w:pPr>
      <w:spacing w:after="120" w:before="120"/>
      <w:ind w:left="850"/>
      <w:jc w:val="both"/>
    </w:pPr>
    <w:rPr>
      <w:lang w:eastAsia="zh-CN"/>
    </w:rPr>
  </w:style>
  <w:style w:type="character" w:styleId="Text1Char" w:customStyle="1">
    <w:name w:val="Text 1 Char"/>
    <w:link w:val="Text1"/>
    <w:rsid w:val="00D0119F"/>
    <w:rPr>
      <w:rFonts w:ascii="Times New Roman" w:cs="Times New Roman" w:eastAsia="Times New Roman" w:hAnsi="Times New Roman"/>
      <w:sz w:val="24"/>
      <w:szCs w:val="24"/>
      <w:lang w:eastAsia="zh-CN"/>
    </w:rPr>
  </w:style>
  <w:style w:type="paragraph" w:styleId="Title">
    <w:name w:val="Title"/>
    <w:basedOn w:val="Normal"/>
    <w:next w:val="Normal"/>
    <w:link w:val="TitleChar"/>
    <w:qFormat w:val="1"/>
    <w:rsid w:val="00D0119F"/>
    <w:pPr>
      <w:spacing w:after="240" w:before="360"/>
      <w:outlineLvl w:val="0"/>
    </w:pPr>
    <w:rPr>
      <w:rFonts w:ascii="Times New Roman Bold" w:hAnsi="Times New Roman Bold"/>
      <w:b w:val="1"/>
      <w:bCs w:val="1"/>
      <w:smallCaps w:val="1"/>
      <w:kern w:val="28"/>
      <w:szCs w:val="32"/>
    </w:rPr>
  </w:style>
  <w:style w:type="character" w:styleId="TitleChar" w:customStyle="1">
    <w:name w:val="Title Char"/>
    <w:basedOn w:val="DefaultParagraphFont"/>
    <w:link w:val="Title"/>
    <w:rsid w:val="00D0119F"/>
    <w:rPr>
      <w:rFonts w:ascii="Times New Roman Bold" w:cs="Times New Roman" w:eastAsia="Times New Roman" w:hAnsi="Times New Roman Bold"/>
      <w:b w:val="1"/>
      <w:bCs w:val="1"/>
      <w:smallCaps w:val="1"/>
      <w:kern w:val="28"/>
      <w:sz w:val="24"/>
      <w:szCs w:val="32"/>
      <w:lang w:eastAsia="en-GB"/>
    </w:rPr>
  </w:style>
  <w:style w:type="character" w:styleId="CommentReference">
    <w:name w:val="annotation reference"/>
    <w:basedOn w:val="DefaultParagraphFont"/>
    <w:uiPriority w:val="99"/>
    <w:semiHidden w:val="1"/>
    <w:unhideWhenUsed w:val="1"/>
    <w:rsid w:val="0095752A"/>
    <w:rPr>
      <w:sz w:val="16"/>
      <w:szCs w:val="16"/>
    </w:rPr>
  </w:style>
  <w:style w:type="paragraph" w:styleId="CommentText">
    <w:name w:val="annotation text"/>
    <w:basedOn w:val="Normal"/>
    <w:link w:val="CommentTextChar"/>
    <w:uiPriority w:val="99"/>
    <w:semiHidden w:val="1"/>
    <w:unhideWhenUsed w:val="1"/>
    <w:rsid w:val="0095752A"/>
    <w:rPr>
      <w:sz w:val="20"/>
      <w:szCs w:val="20"/>
    </w:rPr>
  </w:style>
  <w:style w:type="character" w:styleId="CommentTextChar" w:customStyle="1">
    <w:name w:val="Comment Text Char"/>
    <w:basedOn w:val="DefaultParagraphFont"/>
    <w:link w:val="CommentText"/>
    <w:uiPriority w:val="99"/>
    <w:semiHidden w:val="1"/>
    <w:rsid w:val="0095752A"/>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val="1"/>
    <w:unhideWhenUsed w:val="1"/>
    <w:rsid w:val="0095752A"/>
    <w:rPr>
      <w:b w:val="1"/>
      <w:bCs w:val="1"/>
    </w:rPr>
  </w:style>
  <w:style w:type="character" w:styleId="CommentSubjectChar" w:customStyle="1">
    <w:name w:val="Comment Subject Char"/>
    <w:basedOn w:val="CommentTextChar"/>
    <w:link w:val="CommentSubject"/>
    <w:uiPriority w:val="99"/>
    <w:semiHidden w:val="1"/>
    <w:rsid w:val="0095752A"/>
    <w:rPr>
      <w:rFonts w:ascii="Times New Roman" w:cs="Times New Roman" w:eastAsia="Times New Roman" w:hAnsi="Times New Roman"/>
      <w:b w:val="1"/>
      <w:bCs w:val="1"/>
      <w:sz w:val="20"/>
      <w:szCs w:val="20"/>
      <w:lang w:eastAsia="en-GB"/>
    </w:rPr>
  </w:style>
  <w:style w:type="paragraph" w:styleId="Header">
    <w:name w:val="header"/>
    <w:basedOn w:val="Normal"/>
    <w:link w:val="HeaderChar"/>
    <w:uiPriority w:val="99"/>
    <w:unhideWhenUsed w:val="1"/>
    <w:rsid w:val="00307D1A"/>
    <w:pPr>
      <w:tabs>
        <w:tab w:val="center" w:pos="4513"/>
        <w:tab w:val="right" w:pos="9026"/>
      </w:tabs>
    </w:pPr>
  </w:style>
  <w:style w:type="character" w:styleId="HeaderChar" w:customStyle="1">
    <w:name w:val="Header Char"/>
    <w:basedOn w:val="DefaultParagraphFont"/>
    <w:link w:val="Header"/>
    <w:uiPriority w:val="99"/>
    <w:rsid w:val="00307D1A"/>
    <w:rPr>
      <w:rFonts w:ascii="Times New Roman" w:cs="Times New Roman" w:eastAsia="Times New Roman" w:hAnsi="Times New Roman"/>
      <w:sz w:val="24"/>
      <w:szCs w:val="24"/>
      <w:lang w:eastAsia="en-GB"/>
    </w:rPr>
  </w:style>
  <w:style w:type="paragraph" w:styleId="Footer">
    <w:name w:val="footer"/>
    <w:basedOn w:val="Normal"/>
    <w:link w:val="FooterChar"/>
    <w:uiPriority w:val="99"/>
    <w:unhideWhenUsed w:val="1"/>
    <w:rsid w:val="00307D1A"/>
    <w:pPr>
      <w:tabs>
        <w:tab w:val="center" w:pos="4513"/>
        <w:tab w:val="right" w:pos="9026"/>
      </w:tabs>
    </w:pPr>
  </w:style>
  <w:style w:type="character" w:styleId="FooterChar" w:customStyle="1">
    <w:name w:val="Footer Char"/>
    <w:basedOn w:val="DefaultParagraphFont"/>
    <w:link w:val="Footer"/>
    <w:uiPriority w:val="99"/>
    <w:rsid w:val="00307D1A"/>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2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qd1XTckpav2FBhNgPvPjENIw==">AMUW2mWZhgxLNXIZuYGlWd23v4YU9Jty/265aNON3Z7ujedFfj1aq5+aerkIJ/sOilnIhliFznUht0hESvRy4NPzbcEmzXrVu/hhVdhOnXrApZAwzX2kyKd8nqOkBgRNS1VviTLBPHy/D3HM3H2ThOL0q3Fkql9dj63ZKlG+3rmBy/YQWBTrQTF9qnn3GyYDO8E3IqXV6xLOWy7CraB5cuLm+sReFmNKgQ==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2021-01-25T10:29:00Z</dcterms:created>
  <dc:creator>FAJARDO SORIA Isabel (DEVCO)</dc:creator>
</cp:coreProperties>
</file>